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fa222c484596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4.4.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pohankou (7, 9), Krůtí kostky ve smetanovo sýrové omáčce (1, 7), 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(1, 9), Vepřový závitek zbojnický (1), Kaše bramborová (7), Kompot broskvový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5.4.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brokolicový krém s opraženou houskou (1, 7), Hovězí pečeně debrecínská (párek) (1), 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brokolicový krém s opraženou houskou (1, 7), Jablková buchta (1, 3, 7, 8)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6.4.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9), Kuře hanácké selky (7), 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9), Vepřový plátek na tymiánu (1), Brambory opékané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7.4.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rýží (1), Vepřové na paprice (1, 7),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rýží (1), Těstoviny zapékané s uzeným masem (1, 3, 7), Salát z červené řepy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8.4.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hrstková (fazole, hrách, čočka) (1), Holandský řízek (1, 3, 7), Kaše bramborová s máslem (7), Salát mrkvový s jablky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hrstková (fazole, hrách, čočka) (1), Bublanina s ovocem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9.4.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9), Hovězí pečeně štěpánská (vejce) (1, 3), 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10.4.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9), Vepřový plátek (1), Kaše bramborová (7), 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4.4.2022 do 10.4.2022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